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5005A4">
      <w:pPr>
        <w:spacing w:before="101" w:line="227" w:lineRule="auto"/>
        <w:ind w:left="1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2"/>
          <w:sz w:val="31"/>
          <w:szCs w:val="31"/>
        </w:rPr>
        <w:t>附</w:t>
      </w:r>
      <w:r>
        <w:rPr>
          <w:rFonts w:ascii="黑体" w:hAnsi="黑体" w:eastAsia="黑体" w:cs="黑体"/>
          <w:spacing w:val="-19"/>
          <w:sz w:val="31"/>
          <w:szCs w:val="31"/>
        </w:rPr>
        <w:t>件3</w:t>
      </w:r>
    </w:p>
    <w:p w14:paraId="14FA04E4">
      <w:pPr>
        <w:spacing w:line="246" w:lineRule="auto"/>
        <w:rPr>
          <w:rFonts w:ascii="Arial"/>
          <w:sz w:val="21"/>
        </w:rPr>
      </w:pPr>
    </w:p>
    <w:p w14:paraId="02CD7149">
      <w:pPr>
        <w:spacing w:line="246" w:lineRule="auto"/>
        <w:rPr>
          <w:rFonts w:ascii="Arial"/>
          <w:sz w:val="21"/>
        </w:rPr>
      </w:pPr>
    </w:p>
    <w:p w14:paraId="1DF4BB7C">
      <w:pPr>
        <w:spacing w:before="184" w:line="208" w:lineRule="auto"/>
        <w:ind w:left="664" w:right="779" w:firstLine="462"/>
        <w:jc w:val="center"/>
        <w:rPr>
          <w:rFonts w:ascii="微软雅黑" w:hAnsi="微软雅黑" w:eastAsia="微软雅黑" w:cs="微软雅黑"/>
          <w:spacing w:val="8"/>
          <w:sz w:val="32"/>
          <w:szCs w:val="32"/>
        </w:rPr>
      </w:pPr>
      <w:r>
        <w:rPr>
          <w:rFonts w:ascii="微软雅黑" w:hAnsi="微软雅黑" w:eastAsia="微软雅黑" w:cs="微软雅黑"/>
          <w:spacing w:val="10"/>
          <w:sz w:val="32"/>
          <w:szCs w:val="32"/>
        </w:rPr>
        <w:t>山</w:t>
      </w:r>
      <w:r>
        <w:rPr>
          <w:rFonts w:ascii="微软雅黑" w:hAnsi="微软雅黑" w:eastAsia="微软雅黑" w:cs="微软雅黑"/>
          <w:spacing w:val="8"/>
          <w:sz w:val="32"/>
          <w:szCs w:val="32"/>
        </w:rPr>
        <w:t>东省第七届大学生艺术展演活动</w:t>
      </w:r>
    </w:p>
    <w:p w14:paraId="1529D196">
      <w:pPr>
        <w:spacing w:before="184" w:line="208" w:lineRule="auto"/>
        <w:ind w:left="664" w:right="779" w:firstLine="462"/>
        <w:jc w:val="center"/>
        <w:rPr>
          <w:rFonts w:ascii="微软雅黑" w:hAnsi="微软雅黑" w:eastAsia="微软雅黑" w:cs="微软雅黑"/>
          <w:sz w:val="32"/>
          <w:szCs w:val="32"/>
        </w:rPr>
      </w:pPr>
      <w:r>
        <w:rPr>
          <w:rFonts w:ascii="微软雅黑" w:hAnsi="微软雅黑" w:eastAsia="微软雅黑" w:cs="微软雅黑"/>
          <w:spacing w:val="18"/>
          <w:sz w:val="32"/>
          <w:szCs w:val="32"/>
        </w:rPr>
        <w:t>高</w:t>
      </w:r>
      <w:r>
        <w:rPr>
          <w:rFonts w:ascii="微软雅黑" w:hAnsi="微软雅黑" w:eastAsia="微软雅黑" w:cs="微软雅黑"/>
          <w:spacing w:val="10"/>
          <w:sz w:val="32"/>
          <w:szCs w:val="32"/>
        </w:rPr>
        <w:t>校</w:t>
      </w:r>
      <w:r>
        <w:rPr>
          <w:rFonts w:ascii="微软雅黑" w:hAnsi="微软雅黑" w:eastAsia="微软雅黑" w:cs="微软雅黑"/>
          <w:spacing w:val="9"/>
          <w:sz w:val="32"/>
          <w:szCs w:val="32"/>
        </w:rPr>
        <w:t>美育改革创新优秀案例的相关要求</w:t>
      </w:r>
    </w:p>
    <w:p w14:paraId="152BDAA5">
      <w:pPr>
        <w:spacing w:line="460" w:lineRule="auto"/>
        <w:rPr>
          <w:rFonts w:ascii="Arial"/>
          <w:sz w:val="21"/>
        </w:rPr>
      </w:pPr>
    </w:p>
    <w:p w14:paraId="188A6DE9">
      <w:pPr>
        <w:spacing w:before="101" w:line="345" w:lineRule="auto"/>
        <w:ind w:left="12" w:firstLine="634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8"/>
          <w:sz w:val="30"/>
          <w:szCs w:val="30"/>
        </w:rPr>
        <w:t>高校</w:t>
      </w:r>
      <w:r>
        <w:rPr>
          <w:rFonts w:hint="eastAsia" w:ascii="仿宋_GB2312" w:hAnsi="仿宋_GB2312" w:eastAsia="仿宋_GB2312" w:cs="仿宋_GB2312"/>
          <w:spacing w:val="5"/>
          <w:sz w:val="30"/>
          <w:szCs w:val="30"/>
        </w:rPr>
        <w:t>美</w:t>
      </w:r>
      <w:r>
        <w:rPr>
          <w:rFonts w:hint="eastAsia" w:ascii="仿宋_GB2312" w:hAnsi="仿宋_GB2312" w:eastAsia="仿宋_GB2312" w:cs="仿宋_GB2312"/>
          <w:spacing w:val="4"/>
          <w:sz w:val="30"/>
          <w:szCs w:val="30"/>
        </w:rPr>
        <w:t>育改革创新优秀案例是一校、一院系坚持目标导向和</w:t>
      </w:r>
      <w:r>
        <w:rPr>
          <w:rFonts w:hint="eastAsia" w:ascii="仿宋_GB2312" w:hAnsi="仿宋_GB2312" w:eastAsia="仿宋_GB2312" w:cs="仿宋_GB2312"/>
          <w:spacing w:val="-3"/>
          <w:sz w:val="30"/>
          <w:szCs w:val="30"/>
        </w:rPr>
        <w:t>问题导向，在美育改革创新实践中所形成的具有引领性、突破性</w:t>
      </w:r>
      <w:r>
        <w:rPr>
          <w:rFonts w:hint="eastAsia" w:ascii="仿宋_GB2312" w:hAnsi="仿宋_GB2312" w:eastAsia="仿宋_GB2312" w:cs="仿宋_GB2312"/>
          <w:spacing w:val="-2"/>
          <w:sz w:val="30"/>
          <w:szCs w:val="30"/>
        </w:rPr>
        <w:t>、</w:t>
      </w:r>
      <w:r>
        <w:rPr>
          <w:rFonts w:hint="eastAsia" w:ascii="仿宋_GB2312" w:hAnsi="仿宋_GB2312" w:eastAsia="仿宋_GB2312" w:cs="仿宋_GB2312"/>
          <w:spacing w:val="4"/>
          <w:sz w:val="30"/>
          <w:szCs w:val="30"/>
        </w:rPr>
        <w:t>示范性的做法、举措和经验</w:t>
      </w:r>
      <w:r>
        <w:rPr>
          <w:rFonts w:hint="eastAsia" w:ascii="仿宋_GB2312" w:hAnsi="仿宋_GB2312" w:eastAsia="仿宋_GB2312" w:cs="仿宋_GB2312"/>
          <w:spacing w:val="2"/>
          <w:sz w:val="30"/>
          <w:szCs w:val="30"/>
        </w:rPr>
        <w:t>。</w:t>
      </w:r>
    </w:p>
    <w:p w14:paraId="611E6291">
      <w:pPr>
        <w:spacing w:before="1" w:line="224" w:lineRule="auto"/>
        <w:ind w:left="645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pacing w:val="-21"/>
          <w:sz w:val="30"/>
          <w:szCs w:val="30"/>
        </w:rPr>
        <w:t>一</w:t>
      </w:r>
      <w:r>
        <w:rPr>
          <w:rFonts w:hint="eastAsia" w:ascii="黑体" w:hAnsi="黑体" w:eastAsia="黑体" w:cs="黑体"/>
          <w:spacing w:val="-17"/>
          <w:sz w:val="30"/>
          <w:szCs w:val="30"/>
        </w:rPr>
        <w:t>、选题范围</w:t>
      </w:r>
    </w:p>
    <w:p w14:paraId="69A7AC50">
      <w:pPr>
        <w:spacing w:before="197" w:line="346" w:lineRule="auto"/>
        <w:ind w:right="51" w:firstLine="64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8"/>
          <w:sz w:val="30"/>
          <w:szCs w:val="30"/>
        </w:rPr>
        <w:t>案例一般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</w:rPr>
        <w:t>应</w:t>
      </w:r>
      <w:r>
        <w:rPr>
          <w:rFonts w:hint="eastAsia" w:ascii="仿宋_GB2312" w:hAnsi="仿宋_GB2312" w:eastAsia="仿宋_GB2312" w:cs="仿宋_GB2312"/>
          <w:spacing w:val="4"/>
          <w:sz w:val="30"/>
          <w:szCs w:val="30"/>
        </w:rPr>
        <w:t>包括背景、做法、成效、探讨等要素。应主题突</w:t>
      </w:r>
      <w:r>
        <w:rPr>
          <w:rFonts w:hint="eastAsia" w:ascii="仿宋_GB2312" w:hAnsi="仿宋_GB2312" w:eastAsia="仿宋_GB2312" w:cs="仿宋_GB2312"/>
          <w:spacing w:val="2"/>
          <w:sz w:val="30"/>
          <w:szCs w:val="30"/>
        </w:rPr>
        <w:t>出</w:t>
      </w:r>
      <w:r>
        <w:rPr>
          <w:rFonts w:hint="eastAsia" w:ascii="仿宋_GB2312" w:hAnsi="仿宋_GB2312" w:eastAsia="仿宋_GB2312" w:cs="仿宋_GB2312"/>
          <w:spacing w:val="1"/>
          <w:sz w:val="30"/>
          <w:szCs w:val="30"/>
        </w:rPr>
        <w:t>、层次分明、特色鲜明、资料翔实、语言生动，富有感染力。</w:t>
      </w:r>
      <w:r>
        <w:rPr>
          <w:rFonts w:hint="eastAsia" w:ascii="仿宋_GB2312" w:hAnsi="仿宋_GB2312" w:eastAsia="仿宋_GB2312" w:cs="仿宋_GB2312"/>
          <w:spacing w:val="-1"/>
          <w:sz w:val="30"/>
          <w:szCs w:val="30"/>
        </w:rPr>
        <w:t>案例摘要300字左</w:t>
      </w:r>
      <w:r>
        <w:rPr>
          <w:rFonts w:hint="eastAsia" w:ascii="仿宋_GB2312" w:hAnsi="仿宋_GB2312" w:eastAsia="仿宋_GB2312" w:cs="仿宋_GB2312"/>
          <w:sz w:val="30"/>
          <w:szCs w:val="30"/>
        </w:rPr>
        <w:t>右，正文不超过5000字。展演活动重点围绕</w:t>
      </w:r>
      <w:r>
        <w:rPr>
          <w:rFonts w:hint="eastAsia" w:ascii="仿宋_GB2312" w:hAnsi="仿宋_GB2312" w:eastAsia="仿宋_GB2312" w:cs="仿宋_GB2312"/>
          <w:spacing w:val="5"/>
          <w:sz w:val="30"/>
          <w:szCs w:val="30"/>
        </w:rPr>
        <w:t>以下选题内容征集优秀案例</w:t>
      </w:r>
      <w:r>
        <w:rPr>
          <w:rFonts w:hint="eastAsia" w:ascii="仿宋_GB2312" w:hAnsi="仿宋_GB2312" w:eastAsia="仿宋_GB2312" w:cs="仿宋_GB2312"/>
          <w:spacing w:val="3"/>
          <w:sz w:val="30"/>
          <w:szCs w:val="30"/>
        </w:rPr>
        <w:t>。</w:t>
      </w:r>
    </w:p>
    <w:p w14:paraId="79C7B52F">
      <w:pPr>
        <w:spacing w:before="1" w:line="221" w:lineRule="auto"/>
        <w:ind w:left="625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29"/>
          <w:sz w:val="30"/>
          <w:szCs w:val="30"/>
        </w:rPr>
        <w:t>(一)高校美育专兼职教师队伍建设</w:t>
      </w:r>
    </w:p>
    <w:p w14:paraId="109D4938">
      <w:pPr>
        <w:spacing w:before="209" w:line="223" w:lineRule="auto"/>
        <w:ind w:left="625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40"/>
          <w:sz w:val="30"/>
          <w:szCs w:val="30"/>
        </w:rPr>
        <w:t>(</w:t>
      </w:r>
      <w:r>
        <w:rPr>
          <w:rFonts w:hint="eastAsia" w:ascii="仿宋_GB2312" w:hAnsi="仿宋_GB2312" w:eastAsia="仿宋_GB2312" w:cs="仿宋_GB2312"/>
          <w:spacing w:val="26"/>
          <w:sz w:val="30"/>
          <w:szCs w:val="30"/>
        </w:rPr>
        <w:t>二)高校公共艺术课程建设与推进模式</w:t>
      </w:r>
    </w:p>
    <w:p w14:paraId="7DD3B9F6">
      <w:pPr>
        <w:spacing w:before="204" w:line="223" w:lineRule="auto"/>
        <w:ind w:left="625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37"/>
          <w:sz w:val="30"/>
          <w:szCs w:val="30"/>
        </w:rPr>
        <w:t>(</w:t>
      </w:r>
      <w:r>
        <w:rPr>
          <w:rFonts w:hint="eastAsia" w:ascii="仿宋_GB2312" w:hAnsi="仿宋_GB2312" w:eastAsia="仿宋_GB2312" w:cs="仿宋_GB2312"/>
          <w:spacing w:val="33"/>
          <w:sz w:val="30"/>
          <w:szCs w:val="30"/>
        </w:rPr>
        <w:t>三)高校美育评价体系建设</w:t>
      </w:r>
    </w:p>
    <w:p w14:paraId="69D17D19">
      <w:pPr>
        <w:spacing w:before="207" w:line="221" w:lineRule="auto"/>
        <w:ind w:left="625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26"/>
          <w:sz w:val="30"/>
          <w:szCs w:val="30"/>
        </w:rPr>
        <w:t>(四)高校学生艺术社团及实践工作坊建</w:t>
      </w:r>
      <w:r>
        <w:rPr>
          <w:rFonts w:hint="eastAsia" w:ascii="仿宋_GB2312" w:hAnsi="仿宋_GB2312" w:eastAsia="仿宋_GB2312" w:cs="仿宋_GB2312"/>
          <w:spacing w:val="25"/>
          <w:sz w:val="30"/>
          <w:szCs w:val="30"/>
        </w:rPr>
        <w:t>设</w:t>
      </w:r>
    </w:p>
    <w:p w14:paraId="6089EB0A">
      <w:pPr>
        <w:spacing w:before="209" w:line="223" w:lineRule="auto"/>
        <w:ind w:left="622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28"/>
          <w:sz w:val="30"/>
          <w:szCs w:val="30"/>
        </w:rPr>
        <w:t>(五)中华优秀传统文化传承基地建</w:t>
      </w:r>
      <w:r>
        <w:rPr>
          <w:rFonts w:hint="eastAsia" w:ascii="仿宋_GB2312" w:hAnsi="仿宋_GB2312" w:eastAsia="仿宋_GB2312" w:cs="仿宋_GB2312"/>
          <w:spacing w:val="24"/>
          <w:sz w:val="30"/>
          <w:szCs w:val="30"/>
        </w:rPr>
        <w:t>设</w:t>
      </w:r>
    </w:p>
    <w:p w14:paraId="6971B94F">
      <w:pPr>
        <w:spacing w:before="205" w:line="222" w:lineRule="auto"/>
        <w:ind w:left="625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28"/>
          <w:sz w:val="30"/>
          <w:szCs w:val="30"/>
        </w:rPr>
        <w:t>(六)高校开展美育浸润行动经验做</w:t>
      </w:r>
      <w:r>
        <w:rPr>
          <w:rFonts w:hint="eastAsia" w:ascii="仿宋_GB2312" w:hAnsi="仿宋_GB2312" w:eastAsia="仿宋_GB2312" w:cs="仿宋_GB2312"/>
          <w:spacing w:val="24"/>
          <w:sz w:val="30"/>
          <w:szCs w:val="30"/>
        </w:rPr>
        <w:t>法</w:t>
      </w:r>
    </w:p>
    <w:p w14:paraId="3C067329">
      <w:pPr>
        <w:spacing w:before="207" w:line="223" w:lineRule="auto"/>
        <w:ind w:left="627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35"/>
          <w:sz w:val="30"/>
          <w:szCs w:val="30"/>
        </w:rPr>
        <w:t>(</w:t>
      </w:r>
      <w:r>
        <w:rPr>
          <w:rFonts w:hint="eastAsia" w:ascii="仿宋_GB2312" w:hAnsi="仿宋_GB2312" w:eastAsia="仿宋_GB2312" w:cs="仿宋_GB2312"/>
          <w:spacing w:val="22"/>
          <w:sz w:val="30"/>
          <w:szCs w:val="30"/>
        </w:rPr>
        <w:t>七)高校美育资源与社会艺术资源共享共建典型做法</w:t>
      </w:r>
    </w:p>
    <w:p w14:paraId="56A4CF70">
      <w:pPr>
        <w:spacing w:before="207" w:line="221" w:lineRule="auto"/>
        <w:ind w:left="627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29"/>
          <w:sz w:val="30"/>
          <w:szCs w:val="30"/>
        </w:rPr>
        <w:t>(八)高校名师工作室建设经验做</w:t>
      </w:r>
      <w:r>
        <w:rPr>
          <w:rFonts w:hint="eastAsia" w:ascii="仿宋_GB2312" w:hAnsi="仿宋_GB2312" w:eastAsia="仿宋_GB2312" w:cs="仿宋_GB2312"/>
          <w:spacing w:val="28"/>
          <w:sz w:val="30"/>
          <w:szCs w:val="30"/>
        </w:rPr>
        <w:t>法</w:t>
      </w:r>
    </w:p>
    <w:p w14:paraId="7624E436">
      <w:pPr>
        <w:spacing w:before="101" w:line="346" w:lineRule="auto"/>
        <w:ind w:left="15" w:right="72" w:firstLine="622"/>
        <w:rPr>
          <w:rFonts w:hint="eastAsia" w:ascii="仿宋_GB2312" w:hAnsi="仿宋_GB2312" w:eastAsia="仿宋_GB2312" w:cs="仿宋_GB2312"/>
          <w:spacing w:val="3"/>
          <w:sz w:val="30"/>
          <w:szCs w:val="30"/>
        </w:rPr>
      </w:pPr>
      <w:r>
        <w:rPr>
          <w:rFonts w:hint="eastAsia" w:ascii="黑体" w:hAnsi="黑体" w:eastAsia="黑体" w:cs="黑体"/>
          <w:spacing w:val="4"/>
          <w:sz w:val="30"/>
          <w:szCs w:val="30"/>
        </w:rPr>
        <w:t>二、原</w:t>
      </w:r>
      <w:r>
        <w:rPr>
          <w:rFonts w:hint="eastAsia" w:ascii="黑体" w:hAnsi="黑体" w:eastAsia="黑体" w:cs="黑体"/>
          <w:spacing w:val="3"/>
          <w:sz w:val="30"/>
          <w:szCs w:val="30"/>
        </w:rPr>
        <w:t>则</w:t>
      </w:r>
    </w:p>
    <w:p w14:paraId="564C3A0E">
      <w:pPr>
        <w:spacing w:before="101" w:line="346" w:lineRule="auto"/>
        <w:ind w:left="15" w:right="72" w:firstLine="622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-1"/>
          <w:sz w:val="30"/>
          <w:szCs w:val="30"/>
        </w:rPr>
        <w:t>(一)真实性。因地因校制宜、从</w:t>
      </w:r>
      <w:r>
        <w:rPr>
          <w:rFonts w:hint="eastAsia" w:ascii="仿宋_GB2312" w:hAnsi="仿宋_GB2312" w:eastAsia="仿宋_GB2312" w:cs="仿宋_GB2312"/>
          <w:sz w:val="30"/>
          <w:szCs w:val="30"/>
        </w:rPr>
        <w:t>实际出发，充分体现时代</w:t>
      </w:r>
      <w:r>
        <w:rPr>
          <w:rFonts w:hint="eastAsia" w:ascii="仿宋_GB2312" w:hAnsi="仿宋_GB2312" w:eastAsia="仿宋_GB2312" w:cs="仿宋_GB2312"/>
          <w:spacing w:val="-1"/>
          <w:sz w:val="30"/>
          <w:szCs w:val="30"/>
        </w:rPr>
        <w:t>要</w:t>
      </w:r>
      <w:r>
        <w:rPr>
          <w:rFonts w:hint="eastAsia" w:ascii="仿宋_GB2312" w:hAnsi="仿宋_GB2312" w:eastAsia="仿宋_GB2312" w:cs="仿宋_GB2312"/>
          <w:sz w:val="30"/>
          <w:szCs w:val="30"/>
        </w:rPr>
        <w:t>求和人民需求，禁止虚构、杜撰和抄袭。</w:t>
      </w:r>
    </w:p>
    <w:p w14:paraId="1A9423B8">
      <w:pPr>
        <w:spacing w:line="345" w:lineRule="auto"/>
        <w:ind w:left="38" w:right="72" w:firstLine="59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11"/>
          <w:sz w:val="30"/>
          <w:szCs w:val="30"/>
        </w:rPr>
        <w:t>(二)创新性。以体制机制创新为突破口，为推进高校美</w:t>
      </w:r>
      <w:r>
        <w:rPr>
          <w:rFonts w:hint="eastAsia" w:ascii="仿宋_GB2312" w:hAnsi="仿宋_GB2312" w:eastAsia="仿宋_GB2312" w:cs="仿宋_GB2312"/>
          <w:spacing w:val="7"/>
          <w:sz w:val="30"/>
          <w:szCs w:val="30"/>
        </w:rPr>
        <w:t>育</w:t>
      </w:r>
      <w:r>
        <w:rPr>
          <w:rFonts w:hint="eastAsia" w:ascii="仿宋_GB2312" w:hAnsi="仿宋_GB2312" w:eastAsia="仿宋_GB2312" w:cs="仿宋_GB2312"/>
          <w:spacing w:val="-11"/>
          <w:sz w:val="30"/>
          <w:szCs w:val="30"/>
        </w:rPr>
        <w:t>改</w:t>
      </w:r>
      <w:r>
        <w:rPr>
          <w:rFonts w:hint="eastAsia" w:ascii="仿宋_GB2312" w:hAnsi="仿宋_GB2312" w:eastAsia="仿宋_GB2312" w:cs="仿宋_GB2312"/>
          <w:spacing w:val="-6"/>
          <w:sz w:val="30"/>
          <w:szCs w:val="30"/>
        </w:rPr>
        <w:t>革发展进行积极探索，方法上有创新，措施上有亮点。</w:t>
      </w:r>
    </w:p>
    <w:p w14:paraId="39C905BF">
      <w:pPr>
        <w:spacing w:before="1" w:line="345" w:lineRule="auto"/>
        <w:ind w:left="8" w:right="36" w:firstLine="62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17"/>
          <w:sz w:val="30"/>
          <w:szCs w:val="30"/>
        </w:rPr>
        <w:t>(</w:t>
      </w:r>
      <w:r>
        <w:rPr>
          <w:rFonts w:hint="eastAsia" w:ascii="仿宋_GB2312" w:hAnsi="仿宋_GB2312" w:eastAsia="仿宋_GB2312" w:cs="仿宋_GB2312"/>
          <w:spacing w:val="12"/>
          <w:sz w:val="30"/>
          <w:szCs w:val="30"/>
        </w:rPr>
        <w:t>三)实效性。对高校美育改革发展具有明显的推进作用，</w:t>
      </w:r>
      <w:r>
        <w:rPr>
          <w:rFonts w:hint="eastAsia" w:ascii="仿宋_GB2312" w:hAnsi="仿宋_GB2312" w:eastAsia="仿宋_GB2312" w:cs="仿宋_GB2312"/>
          <w:spacing w:val="-1"/>
          <w:sz w:val="30"/>
          <w:szCs w:val="30"/>
        </w:rPr>
        <w:t>取得积极、良好的效果，得到广泛关注和认可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 w14:paraId="7D6CEAC0">
      <w:pPr>
        <w:spacing w:before="2" w:line="345" w:lineRule="auto"/>
        <w:ind w:right="72" w:firstLine="637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5"/>
          <w:sz w:val="30"/>
          <w:szCs w:val="30"/>
        </w:rPr>
        <w:t>(四)典型性。具有一定的代表性，对其他地区、学校具</w:t>
      </w:r>
      <w:r>
        <w:rPr>
          <w:rFonts w:hint="eastAsia" w:ascii="仿宋_GB2312" w:hAnsi="仿宋_GB2312" w:eastAsia="仿宋_GB2312" w:cs="仿宋_GB2312"/>
          <w:spacing w:val="3"/>
          <w:sz w:val="30"/>
          <w:szCs w:val="30"/>
        </w:rPr>
        <w:t>有</w:t>
      </w:r>
      <w:r>
        <w:rPr>
          <w:rFonts w:hint="eastAsia" w:ascii="仿宋_GB2312" w:hAnsi="仿宋_GB2312" w:eastAsia="仿宋_GB2312" w:cs="仿宋_GB2312"/>
          <w:spacing w:val="8"/>
          <w:sz w:val="30"/>
          <w:szCs w:val="30"/>
        </w:rPr>
        <w:t>借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</w:rPr>
        <w:t>鉴</w:t>
      </w:r>
      <w:r>
        <w:rPr>
          <w:rFonts w:hint="eastAsia" w:ascii="仿宋_GB2312" w:hAnsi="仿宋_GB2312" w:eastAsia="仿宋_GB2312" w:cs="仿宋_GB2312"/>
          <w:spacing w:val="4"/>
          <w:sz w:val="30"/>
          <w:szCs w:val="30"/>
        </w:rPr>
        <w:t>意义和应用价值。</w:t>
      </w:r>
    </w:p>
    <w:p w14:paraId="4EFC36AD">
      <w:pPr>
        <w:spacing w:before="1" w:line="224" w:lineRule="auto"/>
        <w:ind w:left="659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pacing w:val="8"/>
          <w:sz w:val="30"/>
          <w:szCs w:val="30"/>
        </w:rPr>
        <w:t>三</w:t>
      </w:r>
      <w:r>
        <w:rPr>
          <w:rFonts w:hint="eastAsia" w:ascii="黑体" w:hAnsi="黑体" w:eastAsia="黑体" w:cs="黑体"/>
          <w:spacing w:val="5"/>
          <w:sz w:val="30"/>
          <w:szCs w:val="30"/>
        </w:rPr>
        <w:t>、报送要求</w:t>
      </w:r>
    </w:p>
    <w:p w14:paraId="06A959C7">
      <w:pPr>
        <w:spacing w:before="200" w:line="226" w:lineRule="auto"/>
        <w:ind w:left="637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56"/>
          <w:sz w:val="30"/>
          <w:szCs w:val="30"/>
        </w:rPr>
        <w:t>(</w:t>
      </w:r>
      <w:r>
        <w:rPr>
          <w:rFonts w:hint="eastAsia" w:ascii="仿宋_GB2312" w:hAnsi="仿宋_GB2312" w:eastAsia="仿宋_GB2312" w:cs="仿宋_GB2312"/>
          <w:spacing w:val="53"/>
          <w:sz w:val="30"/>
          <w:szCs w:val="30"/>
        </w:rPr>
        <w:t>一)格式要求</w:t>
      </w:r>
    </w:p>
    <w:p w14:paraId="7D0489EB">
      <w:pPr>
        <w:spacing w:before="203" w:line="345" w:lineRule="auto"/>
        <w:ind w:left="6" w:right="69" w:firstLine="65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-37"/>
          <w:sz w:val="30"/>
          <w:szCs w:val="30"/>
        </w:rPr>
        <w:t>1</w:t>
      </w:r>
      <w:r>
        <w:rPr>
          <w:rFonts w:hint="eastAsia" w:ascii="仿宋_GB2312" w:hAnsi="仿宋_GB2312" w:eastAsia="仿宋_GB2312" w:cs="仿宋_GB2312"/>
          <w:spacing w:val="-20"/>
          <w:sz w:val="30"/>
          <w:szCs w:val="30"/>
        </w:rPr>
        <w:t>.A4纸张</w:t>
      </w:r>
      <w:r>
        <w:rPr>
          <w:rFonts w:hint="eastAsia" w:ascii="仿宋_GB2312" w:hAnsi="仿宋_GB2312" w:eastAsia="仿宋_GB2312" w:cs="仿宋_GB2312"/>
          <w:spacing w:val="-20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20"/>
          <w:sz w:val="30"/>
          <w:szCs w:val="30"/>
        </w:rPr>
        <w:t>上边距3.8厘米，下边距3.2厘米，左边距3.5</w:t>
      </w:r>
      <w:r>
        <w:rPr>
          <w:rFonts w:hint="eastAsia" w:ascii="仿宋_GB2312" w:hAnsi="仿宋_GB2312" w:eastAsia="仿宋_GB2312" w:cs="仿宋_GB2312"/>
          <w:spacing w:val="-12"/>
          <w:sz w:val="30"/>
          <w:szCs w:val="30"/>
        </w:rPr>
        <w:t>厘</w:t>
      </w:r>
      <w:r>
        <w:rPr>
          <w:rFonts w:hint="eastAsia" w:ascii="仿宋_GB2312" w:hAnsi="仿宋_GB2312" w:eastAsia="仿宋_GB2312" w:cs="仿宋_GB2312"/>
          <w:spacing w:val="-7"/>
          <w:sz w:val="30"/>
          <w:szCs w:val="30"/>
        </w:rPr>
        <w:t>米，右边距2.5厘米。</w:t>
      </w:r>
    </w:p>
    <w:p w14:paraId="4AC31B8D">
      <w:pPr>
        <w:spacing w:before="2" w:line="345" w:lineRule="auto"/>
        <w:ind w:left="7" w:right="73" w:firstLine="65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-2"/>
          <w:sz w:val="30"/>
          <w:szCs w:val="30"/>
        </w:rPr>
        <w:t>2.正文主标题居中对</w:t>
      </w:r>
      <w:r>
        <w:rPr>
          <w:rFonts w:hint="eastAsia" w:ascii="仿宋_GB2312" w:hAnsi="仿宋_GB2312" w:eastAsia="仿宋_GB2312" w:cs="仿宋_GB2312"/>
          <w:spacing w:val="-1"/>
          <w:sz w:val="30"/>
          <w:szCs w:val="30"/>
        </w:rPr>
        <w:t>齐，使用华文中宋二号字。主标题的段</w:t>
      </w:r>
      <w:r>
        <w:rPr>
          <w:rFonts w:hint="eastAsia" w:ascii="仿宋_GB2312" w:hAnsi="仿宋_GB2312" w:eastAsia="仿宋_GB2312" w:cs="仿宋_GB2312"/>
          <w:spacing w:val="-10"/>
          <w:sz w:val="30"/>
          <w:szCs w:val="30"/>
        </w:rPr>
        <w:t>后</w:t>
      </w:r>
      <w:r>
        <w:rPr>
          <w:rFonts w:hint="eastAsia" w:ascii="仿宋_GB2312" w:hAnsi="仿宋_GB2312" w:eastAsia="仿宋_GB2312" w:cs="仿宋_GB2312"/>
          <w:spacing w:val="-5"/>
          <w:sz w:val="30"/>
          <w:szCs w:val="30"/>
        </w:rPr>
        <w:t>间距设为0.5行。如有副标题需另起一行，使用破折号加宋体</w:t>
      </w:r>
      <w:r>
        <w:rPr>
          <w:rFonts w:hint="eastAsia" w:ascii="仿宋_GB2312" w:hAnsi="仿宋_GB2312" w:eastAsia="仿宋_GB2312" w:cs="仿宋_GB2312"/>
          <w:spacing w:val="-26"/>
          <w:sz w:val="30"/>
          <w:szCs w:val="30"/>
        </w:rPr>
        <w:t>小</w:t>
      </w:r>
      <w:r>
        <w:rPr>
          <w:rFonts w:hint="eastAsia" w:ascii="仿宋_GB2312" w:hAnsi="仿宋_GB2312" w:eastAsia="仿宋_GB2312" w:cs="仿宋_GB2312"/>
          <w:spacing w:val="-17"/>
          <w:sz w:val="30"/>
          <w:szCs w:val="30"/>
        </w:rPr>
        <w:t>二号字如：“——******”。</w:t>
      </w:r>
    </w:p>
    <w:p w14:paraId="27A58183">
      <w:pPr>
        <w:spacing w:before="4" w:line="345" w:lineRule="auto"/>
        <w:ind w:left="6" w:firstLine="664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12"/>
          <w:sz w:val="30"/>
          <w:szCs w:val="30"/>
        </w:rPr>
        <w:t>3.</w:t>
      </w:r>
      <w:r>
        <w:rPr>
          <w:rFonts w:hint="eastAsia" w:ascii="仿宋_GB2312" w:hAnsi="仿宋_GB2312" w:eastAsia="仿宋_GB2312" w:cs="仿宋_GB2312"/>
          <w:spacing w:val="10"/>
          <w:sz w:val="30"/>
          <w:szCs w:val="30"/>
        </w:rPr>
        <w:t>正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</w:rPr>
        <w:t>文一级标题使用黑体三号字，序号使用汉字加顿号如：</w:t>
      </w:r>
      <w:r>
        <w:rPr>
          <w:rFonts w:hint="eastAsia" w:ascii="仿宋_GB2312" w:hAnsi="仿宋_GB2312" w:eastAsia="仿宋_GB2312" w:cs="仿宋_GB2312"/>
          <w:spacing w:val="8"/>
          <w:sz w:val="30"/>
          <w:szCs w:val="30"/>
        </w:rPr>
        <w:t>“一、”。二级标题使用楷体三号字，序号使用汉字加括号如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</w:rPr>
        <w:t>：“(一)”。三级标题使用仿宋三号字，序号使用三号</w:t>
      </w:r>
      <w:r>
        <w:rPr>
          <w:rFonts w:hint="eastAsia" w:ascii="仿宋_GB2312" w:hAnsi="仿宋_GB2312" w:eastAsia="仿宋_GB2312" w:cs="仿宋_GB2312"/>
          <w:sz w:val="30"/>
          <w:szCs w:val="30"/>
        </w:rPr>
        <w:t>Times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New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8"/>
          <w:sz w:val="30"/>
          <w:szCs w:val="30"/>
        </w:rPr>
        <w:t>Roman字体的阿拉伯数字加点如：“1.</w:t>
      </w:r>
      <w:r>
        <w:rPr>
          <w:rFonts w:hint="eastAsia" w:ascii="仿宋_GB2312" w:hAnsi="仿宋_GB2312" w:eastAsia="仿宋_GB2312" w:cs="仿宋_GB2312"/>
          <w:spacing w:val="-8"/>
          <w:sz w:val="30"/>
          <w:szCs w:val="30"/>
          <w:lang w:eastAsia="zh-CN"/>
        </w:rPr>
        <w:t>”。</w:t>
      </w:r>
    </w:p>
    <w:p w14:paraId="449FE87F">
      <w:pPr>
        <w:spacing w:before="5" w:line="349" w:lineRule="auto"/>
        <w:ind w:right="45"/>
        <w:rPr>
          <w:rFonts w:hint="eastAsia" w:ascii="仿宋_GB2312" w:hAnsi="仿宋_GB2312" w:eastAsia="仿宋_GB2312" w:cs="仿宋_GB2312"/>
          <w:spacing w:val="6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pacing w:val="-2"/>
          <w:sz w:val="30"/>
          <w:szCs w:val="30"/>
        </w:rPr>
        <w:t>4.正</w:t>
      </w:r>
      <w:r>
        <w:rPr>
          <w:rFonts w:hint="eastAsia" w:ascii="仿宋_GB2312" w:hAnsi="仿宋_GB2312" w:eastAsia="仿宋_GB2312" w:cs="仿宋_GB2312"/>
          <w:spacing w:val="-1"/>
          <w:sz w:val="30"/>
          <w:szCs w:val="30"/>
        </w:rPr>
        <w:t>文使用仿宋三号字，首行缩进两字符，行距设置为1.5</w:t>
      </w:r>
      <w:r>
        <w:rPr>
          <w:rFonts w:hint="eastAsia" w:ascii="仿宋_GB2312" w:hAnsi="仿宋_GB2312" w:eastAsia="仿宋_GB2312" w:cs="仿宋_GB2312"/>
          <w:spacing w:val="-8"/>
          <w:sz w:val="30"/>
          <w:szCs w:val="30"/>
        </w:rPr>
        <w:t>倍。正文</w:t>
      </w:r>
      <w:r>
        <w:rPr>
          <w:rFonts w:hint="eastAsia" w:ascii="仿宋_GB2312" w:hAnsi="仿宋_GB2312" w:eastAsia="仿宋_GB2312" w:cs="仿宋_GB2312"/>
          <w:spacing w:val="-7"/>
          <w:sz w:val="30"/>
          <w:szCs w:val="30"/>
        </w:rPr>
        <w:t>须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</w:rPr>
        <w:t>配5—10幅插图，图片下方附50字以内说明，须注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</w:rPr>
        <w:t>明拍摄者</w:t>
      </w:r>
      <w:r>
        <w:rPr>
          <w:rFonts w:hint="eastAsia" w:ascii="仿宋_GB2312" w:hAnsi="仿宋_GB2312" w:eastAsia="仿宋_GB2312" w:cs="仿宋_GB2312"/>
          <w:spacing w:val="6"/>
          <w:sz w:val="30"/>
          <w:szCs w:val="30"/>
          <w:lang w:eastAsia="zh-CN"/>
        </w:rPr>
        <w:t>。</w:t>
      </w:r>
    </w:p>
    <w:p w14:paraId="42032862">
      <w:pPr>
        <w:spacing w:before="101" w:line="229" w:lineRule="auto"/>
        <w:ind w:left="625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56"/>
          <w:sz w:val="30"/>
          <w:szCs w:val="30"/>
        </w:rPr>
        <w:t>(</w:t>
      </w:r>
      <w:r>
        <w:rPr>
          <w:rFonts w:hint="eastAsia" w:ascii="仿宋_GB2312" w:hAnsi="仿宋_GB2312" w:eastAsia="仿宋_GB2312" w:cs="仿宋_GB2312"/>
          <w:spacing w:val="53"/>
          <w:sz w:val="30"/>
          <w:szCs w:val="30"/>
        </w:rPr>
        <w:t>二)报送方式</w:t>
      </w:r>
    </w:p>
    <w:p w14:paraId="4A83F98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20" w:firstLineChars="200"/>
        <w:textAlignment w:val="baseline"/>
        <w:rPr>
          <w:rFonts w:hint="eastAsia" w:ascii="仿宋_GB2312" w:hAnsi="仿宋_GB2312" w:eastAsia="仿宋_GB2312" w:cs="仿宋_GB2312"/>
          <w:spacing w:val="-7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5"/>
          <w:sz w:val="30"/>
          <w:szCs w:val="30"/>
        </w:rPr>
        <w:t>各校要按照规定数量推荐优秀案例报送省教育厅。报送优</w:t>
      </w:r>
      <w:r>
        <w:rPr>
          <w:rFonts w:hint="eastAsia" w:ascii="仿宋_GB2312" w:hAnsi="仿宋_GB2312" w:eastAsia="仿宋_GB2312" w:cs="仿宋_GB2312"/>
          <w:spacing w:val="3"/>
          <w:sz w:val="30"/>
          <w:szCs w:val="30"/>
        </w:rPr>
        <w:t>秀</w:t>
      </w:r>
      <w:r>
        <w:rPr>
          <w:rFonts w:hint="eastAsia" w:ascii="仿宋_GB2312" w:hAnsi="仿宋_GB2312" w:eastAsia="仿宋_GB2312" w:cs="仿宋_GB2312"/>
          <w:spacing w:val="5"/>
          <w:sz w:val="30"/>
          <w:szCs w:val="30"/>
        </w:rPr>
        <w:t>案例时须附加盖公章的《山东省第七届大学生艺术展演活动高校</w:t>
      </w:r>
      <w:r>
        <w:rPr>
          <w:rFonts w:hint="eastAsia" w:ascii="仿宋_GB2312" w:hAnsi="仿宋_GB2312" w:eastAsia="仿宋_GB2312" w:cs="仿宋_GB2312"/>
          <w:spacing w:val="-13"/>
          <w:sz w:val="30"/>
          <w:szCs w:val="30"/>
        </w:rPr>
        <w:t>美</w:t>
      </w:r>
      <w:r>
        <w:rPr>
          <w:rFonts w:hint="eastAsia" w:ascii="仿宋_GB2312" w:hAnsi="仿宋_GB2312" w:eastAsia="仿宋_GB2312" w:cs="仿宋_GB2312"/>
          <w:spacing w:val="-7"/>
          <w:sz w:val="30"/>
          <w:szCs w:val="30"/>
        </w:rPr>
        <w:t>育改革创新优秀案例申报书》(附件5)。不接受个人直接报送。</w:t>
      </w:r>
    </w:p>
    <w:p w14:paraId="0601BE4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3C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2025-07-10T04:10:49Z</dcterms:created>
  <dc:creator>dell</dc:creator>
  <cp:lastModifiedBy>方圆</cp:lastModifiedBy>
  <dcterms:modified xsi:type="dcterms:W3CDTF">2025-07-10T04:11:23Z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eyJoZGlkIjoiNDc3NzQyMjMyYzVjYzhkN2QwNTVlMWM5ODFjYjQyYzIiLCJ1c2VySWQiOiI2ODA2MjIyNTUifQ==</vt:lpwstr>
  </property>
  <property fmtid="{D5CDD505-2E9C-101B-9397-08002B2CF9AE}" pid="4" name="ICV">
    <vt:lpwstr>2094625F0E084217B20C8FCCDB76FECB_12</vt:lpwstr>
  </property>
</Properties>
</file>