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left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highlight w:val="yellow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附件3：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中国石油大学优秀共青团干部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申报条件和评选办法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黑体" w:eastAsia="黑体" w:hAnsi="黑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一、评选条件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1.理想信念坚定。认真学习宣传贯彻党的十九大精神和习近平新时代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中国特色社会主义思想，坚定“两个一百年”奋斗目标，坚持用实现中华民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族伟大复兴的中国梦激扬自身的青春梦想，坚决维护以习近平同志为核心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的党中央权威和集中统一领导，在思想上政治上行动上同以习近平同志为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核心的党中央保持高度一致，牢固树立“四个意识”。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2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.工作能力过硬。热爱团的工作，心系广大青年，直接联系青年成效突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出，对青年开展有效服务和引导工作，在青年中具有较高的威信。认真执行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团的上级机关做出的指示和决议，坚持围绕党政中心任务和青年需求开展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工作，积极探索创新，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在团的岗位上取得突出成绩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。具有较强的团务工作能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力。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3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.工作作风优良。严格遵守政治纪律和政治规矩，廉洁自律，坚决反对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“四风”。201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9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年度在所在团支部团员教育评议中获得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“优秀”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等次。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4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.本年度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内累计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担任</w:t>
      </w:r>
      <w:r>
        <w:rPr>
          <w:b w:val="1"/>
          <w:color w:val="auto"/>
          <w:position w:val="0"/>
          <w:sz w:val="28"/>
          <w:szCs w:val="28"/>
          <w:rFonts w:ascii="仿宋_GB2312" w:eastAsia="宋体" w:hAnsi="宋体" w:hint="default"/>
        </w:rPr>
        <w:t>专兼职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团干部达半年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以上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黑体" w:eastAsia="黑体" w:hAnsi="黑体" w:hint="default"/>
        </w:rPr>
        <w:snapToGrid w:val="off"/>
        <w:autoSpaceDE w:val="0"/>
        <w:autoSpaceDN w:val="0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二、评选办法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1.在校生团干部及青年教师团干部均可参加评选。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2.各学院（部）确定优秀共青团干部的数量不超过本学院（部）团员总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数的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3%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（本年度红旗团委获评单位获评比例不超过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6%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，计算后不足一个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名额的按照一个名额计算）。名额分配见附件。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3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.每年4月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中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旬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由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学院（部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）团委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、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各校级学生组织评比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和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推荐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并将评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选结果填报《优秀共青团干部汇总表》（附件5），上报校团委审核，通过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校团委审核后获评优秀共青团干部。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spacing w:val="0"/>
          <w:vertAlign w:val="baseline"/>
          <w:color w:val="auto"/>
          <w:position w:val="0"/>
          <w:sz w:val="28"/>
          <w:szCs w:val="28"/>
          <w:smallCaps w:val="0"/>
          <w:rFonts w:ascii="黑体" w:eastAsia="黑体" w:hAnsi="黑体" w:hint="default"/>
        </w:rPr>
        <w:snapToGrid w:val="off"/>
        <w:autoSpaceDE w:val="1"/>
        <w:autoSpaceDN w:val="1"/>
      </w:pPr>
      <w:r>
        <w:rPr>
          <w:spacing w:val="0"/>
          <w:vertAlign w:val="baseline"/>
          <w:color w:val="auto"/>
          <w:position w:val="0"/>
          <w:sz w:val="28"/>
          <w:szCs w:val="28"/>
          <w:smallCaps w:val="0"/>
          <w:rFonts w:ascii="黑体" w:eastAsia="黑体" w:hAnsi="黑体" w:hint="default"/>
        </w:rPr>
        <w:t>三、报送要求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各年级团总支和学生组织将《优秀共青团干部汇总表》在4月17日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之前发送到邮箱1025260785@qq.com。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outlineLvl w:val="0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附件4：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中国石油大学优秀共青团员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0"/>
        <w:autoSpaceDN w:val="0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评选条件和评选办法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一、评选条件</w:t>
      </w:r>
    </w:p>
    <w:p>
      <w:pPr>
        <w:numPr>
          <w:ilvl w:val="0"/>
          <w:numId w:val="0"/>
        </w:numPr>
        <w:jc w:val="left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1.理想信念坚定。认真学习宣传贯彻党的十九大精神和习近平新时代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中国特色社会主义思想，坚定“两个一百年”奋斗目标，坚持用实现中华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民族伟大复兴的中国梦激扬自身的青春梦想，坚决维护以习近平同志为核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心的党中央权威和集中统一领导，在思想上政治上行动上同以习近平同志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为核心的党中央保持高度一致，牢固树立“四个意识”。</w:t>
      </w:r>
    </w:p>
    <w:p>
      <w:pPr>
        <w:numPr>
          <w:ilvl w:val="0"/>
          <w:numId w:val="0"/>
        </w:numPr>
        <w:jc w:val="left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2.模范作用良好。自觉遵守团的章程，认真履行团员义务，按要求参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加“三会两制一课”，学习成绩优良，积极参与团的各类活动，并取得较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好的业绩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能够在团员青年中发挥模范带头作用。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3.作风良好。严格遵守国家法律法规，品德优良，团结同学，关心集体，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保持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良好的生活习惯。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在201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9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年度团员教育评议中获得“优秀”等次。</w:t>
      </w:r>
    </w:p>
    <w:p>
      <w:pPr>
        <w:numPr>
          <w:ilvl w:val="0"/>
          <w:numId w:val="0"/>
        </w:numPr>
        <w:jc w:val="left"/>
        <w:spacing w:lineRule="exact" w:line="560" w:before="0" w:after="0"/>
        <w:ind w:right="0" w:firstLine="549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4.团龄在一年以上（截至本年度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3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月3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1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日）。</w:t>
      </w:r>
    </w:p>
    <w:p>
      <w:pPr>
        <w:numPr>
          <w:ilvl w:val="0"/>
          <w:numId w:val="0"/>
        </w:numPr>
        <w:jc w:val="left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二、评选办法</w:t>
      </w:r>
    </w:p>
    <w:p>
      <w:pPr>
        <w:numPr>
          <w:ilvl w:val="0"/>
          <w:numId w:val="0"/>
        </w:numPr>
        <w:jc w:val="left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1.具有团籍的我校在校团员均可参加评选。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宋体" w:hAnsi="宋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2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.各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学院（部）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确定优秀共青团员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的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数量不超过本学院（部）团员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总数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的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5%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（本年度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红旗团委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获评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单位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获评比例不超过</w:t>
      </w: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10%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，计算后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不足一个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名额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的按照一个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名额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计算）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。名额分配见附件。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3.每年4月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中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旬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由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学院（部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）团委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、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各校级学生组织评比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和</w:t>
      </w:r>
      <w:r>
        <w:rPr>
          <w:color w:val="auto"/>
          <w:position w:val="0"/>
          <w:sz w:val="28"/>
          <w:szCs w:val="28"/>
          <w:rFonts w:ascii="仿宋_GB2312" w:eastAsia="宋体" w:hAnsi="宋体" w:hint="default"/>
        </w:rPr>
        <w:t>推荐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并将评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选结果填报《优秀共青团员汇总表》（附件6），上报校团委审核，通过校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团委审核后获评优秀共青团员。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spacing w:val="0"/>
          <w:vertAlign w:val="baseline"/>
          <w:color w:val="auto"/>
          <w:position w:val="0"/>
          <w:sz w:val="28"/>
          <w:szCs w:val="28"/>
          <w:smallCaps w:val="0"/>
          <w:rFonts w:ascii="黑体" w:eastAsia="黑体" w:hAnsi="黑体" w:hint="default"/>
        </w:rPr>
        <w:snapToGrid w:val="off"/>
        <w:autoSpaceDE w:val="1"/>
        <w:autoSpaceDN w:val="1"/>
      </w:pPr>
      <w:r>
        <w:rPr>
          <w:spacing w:val="0"/>
          <w:vertAlign w:val="baseline"/>
          <w:color w:val="auto"/>
          <w:position w:val="0"/>
          <w:sz w:val="28"/>
          <w:szCs w:val="28"/>
          <w:smallCaps w:val="0"/>
          <w:rFonts w:ascii="黑体" w:eastAsia="黑体" w:hAnsi="黑体" w:hint="default"/>
        </w:rPr>
        <w:t>三、报送要求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各年级团总支和学生组织将《优秀共青团员汇总表》在4月17日之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前发送到邮箱1025260785@qq.com。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8"/>
          <w:szCs w:val="28"/>
          <w:rFonts w:ascii="仿宋_GB2312" w:eastAsia="宋体" w:hAnsi="宋体" w:hint="default"/>
        </w:rPr>
        <w:autoSpaceDE w:val="1"/>
        <w:autoSpaceDN w:val="1"/>
      </w:pPr>
      <w:r>
        <w:br w:type="page"/>
      </w:r>
    </w:p>
    <w:sectPr>
      <w:pgSz w:w="11906" w:h="16838"/>
      <w:pgMar w:top="1440" w:left="1418" w:bottom="1440" w:right="1416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3" w:type="character">
    <w:name w:val="页眉 字符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5" w:type="character">
    <w:name w:val="页脚 字符"/>
    <w:basedOn w:val="PO2"/>
    <w:link w:val="PO154"/>
    <w:uiPriority w:val="155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8</Lines>
  <LinksUpToDate>false</LinksUpToDate>
  <Pages>4</Pages>
  <Paragraphs>2</Paragraphs>
  <Words>184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  <dcterms:modified xsi:type="dcterms:W3CDTF">2020-04-12T07:15:00Z</dcterms:modified>
</cp:coreProperties>
</file>